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71DC" w14:textId="646EDEBB" w:rsidR="00E73E3C" w:rsidRPr="009A7671" w:rsidRDefault="00573A34" w:rsidP="007B36A8">
      <w:pPr>
        <w:pStyle w:val="Ohjeteksit"/>
        <w:spacing w:line="276" w:lineRule="auto"/>
        <w:rPr>
          <w:rFonts w:cs="Arial"/>
          <w:b/>
        </w:rPr>
      </w:pPr>
      <w:r>
        <w:rPr>
          <w:b/>
          <w:noProof/>
          <w:color w:val="FF0000"/>
          <w:sz w:val="24"/>
          <w:szCs w:val="24"/>
          <w:lang w:val="fi-FI"/>
        </w:rPr>
        <w:drawing>
          <wp:anchor distT="0" distB="0" distL="114300" distR="114300" simplePos="0" relativeHeight="251659264" behindDoc="0" locked="0" layoutInCell="1" allowOverlap="1" wp14:anchorId="0C639B21" wp14:editId="25CF518F">
            <wp:simplePos x="0" y="0"/>
            <wp:positionH relativeFrom="margin">
              <wp:align>left</wp:align>
            </wp:positionH>
            <wp:positionV relativeFrom="paragraph">
              <wp:posOffset>9525</wp:posOffset>
            </wp:positionV>
            <wp:extent cx="1603375" cy="682625"/>
            <wp:effectExtent l="0" t="0" r="0" b="3175"/>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3375" cy="682625"/>
                    </a:xfrm>
                    <a:prstGeom prst="rect">
                      <a:avLst/>
                    </a:prstGeom>
                    <a:noFill/>
                  </pic:spPr>
                </pic:pic>
              </a:graphicData>
            </a:graphic>
          </wp:anchor>
        </w:drawing>
      </w:r>
      <w:r w:rsidR="005F0015">
        <w:rPr>
          <w:b/>
          <w:color w:val="FF0000"/>
          <w:sz w:val="24"/>
          <w:szCs w:val="24"/>
        </w:rPr>
        <w:tab/>
      </w:r>
      <w:r w:rsidR="005F0015">
        <w:rPr>
          <w:b/>
        </w:rPr>
        <w:t>BILAGA 3A: Små avloppsvattenmängder</w:t>
      </w:r>
    </w:p>
    <w:p w14:paraId="1B24D61D" w14:textId="069F3E72" w:rsidR="00075F67" w:rsidRPr="00573A34" w:rsidRDefault="001C5FA7" w:rsidP="00573A34">
      <w:pPr>
        <w:pStyle w:val="Ohjeteksit"/>
        <w:spacing w:line="276" w:lineRule="auto"/>
        <w:ind w:left="3912"/>
        <w:rPr>
          <w:rFonts w:cs="Arial"/>
        </w:rPr>
      </w:pPr>
      <w:r>
        <w:t>Bilaga till ansökan om avvikelse i fråga om behandling av avloppsvatten</w:t>
      </w:r>
      <w:r w:rsidR="00573A34">
        <w:rPr>
          <w:rFonts w:cs="Arial"/>
        </w:rPr>
        <w:t xml:space="preserve"> (</w:t>
      </w:r>
      <w:r>
        <w:t>Miljöskyddslagen 527/2014 156 d §</w:t>
      </w:r>
      <w:r w:rsidR="00573A34">
        <w:t>)</w:t>
      </w:r>
    </w:p>
    <w:p w14:paraId="111DFA72" w14:textId="77777777" w:rsidR="00573A34" w:rsidRDefault="00573A34" w:rsidP="00573A34">
      <w:pPr>
        <w:pStyle w:val="Otsikko3"/>
        <w:spacing w:line="276" w:lineRule="auto"/>
        <w:rPr>
          <w:sz w:val="20"/>
          <w:szCs w:val="20"/>
        </w:rPr>
      </w:pPr>
    </w:p>
    <w:p w14:paraId="2127D12B" w14:textId="36EBDA2E" w:rsidR="00075F67" w:rsidRPr="009A7671" w:rsidRDefault="00075F67" w:rsidP="00573A34">
      <w:pPr>
        <w:pStyle w:val="Otsikko3"/>
        <w:spacing w:line="276" w:lineRule="auto"/>
        <w:rPr>
          <w:sz w:val="20"/>
          <w:szCs w:val="20"/>
        </w:rPr>
      </w:pPr>
      <w:r>
        <w:rPr>
          <w:sz w:val="20"/>
          <w:szCs w:val="20"/>
        </w:rPr>
        <w:t>DIARIEFÖRINGSUPPGIFTER</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9A7671"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44A0D27C" w:rsidR="00D94419" w:rsidRPr="009A7671" w:rsidRDefault="00D94419" w:rsidP="007B36A8">
            <w:pPr>
              <w:pStyle w:val="Ohjetekstipieni"/>
              <w:spacing w:line="276" w:lineRule="auto"/>
              <w:rPr>
                <w:rFonts w:cs="Arial"/>
                <w:sz w:val="18"/>
              </w:rPr>
            </w:pPr>
            <w:r>
              <w:rPr>
                <w:sz w:val="18"/>
              </w:rPr>
              <w:t xml:space="preserve">Ansökan skickas till: </w:t>
            </w:r>
            <w:r w:rsidR="00573A34" w:rsidRPr="00646893">
              <w:rPr>
                <w:sz w:val="18"/>
              </w:rPr>
              <w:t>Miljöbyrån i Raseborgs stad, PB 58, 10611 Raseborg</w:t>
            </w:r>
            <w:r w:rsidR="00573A34">
              <w:rPr>
                <w:sz w:val="18"/>
              </w:rPr>
              <w:t xml:space="preserve"> </w:t>
            </w:r>
          </w:p>
        </w:tc>
      </w:tr>
      <w:tr w:rsidR="00075F67" w:rsidRPr="009A7671"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Pr>
                <w:sz w:val="18"/>
              </w:rPr>
              <w:t>(Fylls i av myndigheten)</w:t>
            </w:r>
          </w:p>
          <w:p w14:paraId="27046462" w14:textId="77777777" w:rsidR="00075F67" w:rsidRPr="009A7671" w:rsidRDefault="00075F67" w:rsidP="007B36A8">
            <w:pPr>
              <w:pStyle w:val="Ohjetekstipieni"/>
              <w:spacing w:line="276" w:lineRule="auto"/>
              <w:rPr>
                <w:rFonts w:cs="Arial"/>
                <w:sz w:val="18"/>
              </w:rPr>
            </w:pPr>
            <w:r>
              <w:rPr>
                <w:sz w:val="18"/>
              </w:rPr>
              <w:t>Diarieanteckning</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Pr>
                <w:sz w:val="18"/>
              </w:rPr>
              <w:t>Myndighetens kontaktuppgifter</w:t>
            </w:r>
          </w:p>
        </w:tc>
      </w:tr>
      <w:tr w:rsidR="00075F67" w:rsidRPr="009A7671"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Pr>
                <w:sz w:val="18"/>
              </w:rPr>
              <w:t xml:space="preserve">Bilagan har inkommit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bl>
    <w:p w14:paraId="5BFD4E6B" w14:textId="77777777" w:rsidR="006B5426" w:rsidRPr="009A7671" w:rsidRDefault="006B5426"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9A7671" w14:paraId="5572B23E" w14:textId="77777777" w:rsidTr="00663DA6">
        <w:trPr>
          <w:trHeight w:val="567"/>
        </w:trPr>
        <w:tc>
          <w:tcPr>
            <w:tcW w:w="7230" w:type="dxa"/>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Pr>
                <w:b/>
                <w:sz w:val="20"/>
              </w:rPr>
              <w:t>1. SÖKANDE</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Pr>
                <w:sz w:val="20"/>
                <w:szCs w:val="16"/>
              </w:rPr>
              <w:t>Sökandens namn</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tc>
      </w:tr>
      <w:tr w:rsidR="0038579D" w:rsidRPr="009A7671" w14:paraId="7451A59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38D37BC0" w14:textId="77777777" w:rsidR="0038579D" w:rsidRPr="009A7671" w:rsidRDefault="0038579D" w:rsidP="0038579D">
            <w:pPr>
              <w:pStyle w:val="Ohjetekstipieni"/>
              <w:spacing w:line="276" w:lineRule="auto"/>
              <w:rPr>
                <w:rFonts w:cs="Arial"/>
                <w:sz w:val="20"/>
                <w:szCs w:val="16"/>
              </w:rPr>
            </w:pPr>
            <w:r>
              <w:rPr>
                <w:sz w:val="20"/>
                <w:szCs w:val="16"/>
              </w:rPr>
              <w:t>Sökandens adress</w:t>
            </w:r>
          </w:p>
          <w:p w14:paraId="7D4FAAA0" w14:textId="243F3C3C" w:rsidR="0038579D" w:rsidRPr="009A7671" w:rsidRDefault="0038579D" w:rsidP="0038579D">
            <w:pPr>
              <w:pStyle w:val="Ohjetekstipieni"/>
              <w:spacing w:line="276" w:lineRule="auto"/>
              <w:rPr>
                <w:rFonts w:cs="Arial"/>
                <w:sz w:val="20"/>
                <w:szCs w:val="16"/>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tc>
      </w:tr>
      <w:tr w:rsidR="00663DA6" w:rsidRPr="009A7671"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28F68837" w:rsidR="00663DA6" w:rsidRPr="009A7671" w:rsidRDefault="00663DA6" w:rsidP="007B36A8">
            <w:pPr>
              <w:pStyle w:val="Ohjetekstipieni"/>
              <w:spacing w:line="276" w:lineRule="auto"/>
              <w:rPr>
                <w:rFonts w:cs="Arial"/>
                <w:sz w:val="20"/>
                <w:szCs w:val="16"/>
              </w:rPr>
            </w:pPr>
            <w:r>
              <w:rPr>
                <w:sz w:val="20"/>
                <w:szCs w:val="16"/>
              </w:rPr>
              <w:t>Sökandens e-postadress</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Pr>
                <w:sz w:val="20"/>
                <w:szCs w:val="16"/>
              </w:rPr>
              <w:t>Sökandens telefonnummer</w:t>
            </w:r>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ldLock="1">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Pr>
                <w:rFonts w:ascii="Arial" w:hAnsi="Arial"/>
                <w:sz w:val="20"/>
              </w:rPr>
              <w:t>     </w:t>
            </w:r>
            <w:r w:rsidRPr="009A7671">
              <w:rPr>
                <w:rFonts w:ascii="Arial" w:hAnsi="Arial" w:cs="Arial"/>
                <w:sz w:val="20"/>
              </w:rPr>
              <w:fldChar w:fldCharType="end"/>
            </w:r>
          </w:p>
        </w:tc>
      </w:tr>
    </w:tbl>
    <w:p w14:paraId="6934DCC1" w14:textId="77777777" w:rsidR="00003565" w:rsidRPr="009A7671" w:rsidRDefault="00003565" w:rsidP="00003565">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003565" w:rsidRPr="009A7671" w14:paraId="428601CB" w14:textId="77777777" w:rsidTr="00877AEF">
        <w:trPr>
          <w:trHeight w:val="567"/>
        </w:trPr>
        <w:tc>
          <w:tcPr>
            <w:tcW w:w="7230" w:type="dxa"/>
            <w:tcBorders>
              <w:bottom w:val="single" w:sz="4" w:space="0" w:color="auto"/>
            </w:tcBorders>
            <w:vAlign w:val="bottom"/>
          </w:tcPr>
          <w:p w14:paraId="2C05CE80" w14:textId="6F73CF9A" w:rsidR="00003565" w:rsidRPr="009A7671" w:rsidRDefault="00003565" w:rsidP="00003565">
            <w:pPr>
              <w:pStyle w:val="Ohjetekstipieni"/>
              <w:spacing w:line="276" w:lineRule="auto"/>
              <w:rPr>
                <w:rFonts w:cs="Arial"/>
                <w:sz w:val="20"/>
                <w:szCs w:val="16"/>
              </w:rPr>
            </w:pPr>
            <w:r>
              <w:rPr>
                <w:b/>
                <w:sz w:val="20"/>
              </w:rPr>
              <w:t>2. AVLOPPSVATTENSYSTEM MED LITEN MÄNGD AVLOPPSVATTEN</w:t>
            </w:r>
          </w:p>
        </w:tc>
        <w:tc>
          <w:tcPr>
            <w:tcW w:w="2835" w:type="dxa"/>
            <w:tcBorders>
              <w:bottom w:val="single" w:sz="4" w:space="0" w:color="auto"/>
            </w:tcBorders>
          </w:tcPr>
          <w:p w14:paraId="75CFDE09" w14:textId="77777777" w:rsidR="00003565" w:rsidRPr="009A7671" w:rsidRDefault="00003565" w:rsidP="00877AEF">
            <w:pPr>
              <w:pStyle w:val="Ohjetekstipieni"/>
              <w:spacing w:line="276" w:lineRule="auto"/>
              <w:rPr>
                <w:rFonts w:cs="Arial"/>
                <w:sz w:val="20"/>
                <w:szCs w:val="16"/>
              </w:rPr>
            </w:pPr>
          </w:p>
        </w:tc>
      </w:tr>
      <w:tr w:rsidR="00003565" w:rsidRPr="009A7671" w14:paraId="755A773F" w14:textId="77777777" w:rsidTr="00877AEF">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9FFB29F" w14:textId="6439F478" w:rsidR="00003565" w:rsidRPr="009A7671" w:rsidRDefault="00003565" w:rsidP="00877AEF">
            <w:pPr>
              <w:pStyle w:val="Ohjetekstipieni"/>
              <w:spacing w:line="276" w:lineRule="auto"/>
              <w:rPr>
                <w:rFonts w:cs="Arial"/>
                <w:sz w:val="20"/>
                <w:szCs w:val="16"/>
              </w:rPr>
            </w:pPr>
            <w:r>
              <w:rPr>
                <w:sz w:val="20"/>
                <w:szCs w:val="16"/>
              </w:rPr>
              <w:t xml:space="preserve">Om det på fastigheten finns flera </w:t>
            </w:r>
            <w:proofErr w:type="spellStart"/>
            <w:r>
              <w:rPr>
                <w:sz w:val="20"/>
                <w:szCs w:val="16"/>
              </w:rPr>
              <w:t>behandlingssystem</w:t>
            </w:r>
            <w:proofErr w:type="spellEnd"/>
            <w:r>
              <w:rPr>
                <w:sz w:val="20"/>
                <w:szCs w:val="16"/>
              </w:rPr>
              <w:t xml:space="preserve"> för avloppsvatten (Bilaga 2), ange vilket av dem som avses.</w:t>
            </w:r>
          </w:p>
          <w:p w14:paraId="51744A7D" w14:textId="77777777" w:rsidR="00003565" w:rsidRPr="009A7671" w:rsidRDefault="00003565" w:rsidP="00877AEF">
            <w:pPr>
              <w:pStyle w:val="Ohjetekstipieni"/>
              <w:spacing w:line="276" w:lineRule="auto"/>
              <w:rPr>
                <w:rFonts w:cs="Arial"/>
                <w:sz w:val="20"/>
                <w:szCs w:val="16"/>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tc>
      </w:tr>
    </w:tbl>
    <w:p w14:paraId="7E43F55F" w14:textId="77777777" w:rsidR="004F1011" w:rsidRPr="009A7671" w:rsidRDefault="004F101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F1011" w:rsidRPr="009A7671" w14:paraId="67D7066B" w14:textId="77777777" w:rsidTr="00BC3923">
        <w:trPr>
          <w:trHeight w:val="567"/>
        </w:trPr>
        <w:tc>
          <w:tcPr>
            <w:tcW w:w="7230" w:type="dxa"/>
            <w:tcBorders>
              <w:bottom w:val="single" w:sz="4" w:space="0" w:color="auto"/>
            </w:tcBorders>
            <w:vAlign w:val="bottom"/>
          </w:tcPr>
          <w:p w14:paraId="10294609" w14:textId="3C236C21" w:rsidR="004F1011" w:rsidRPr="009A7671" w:rsidRDefault="00003565" w:rsidP="009A7671">
            <w:pPr>
              <w:pStyle w:val="Ohjetekstipieni"/>
              <w:spacing w:line="276" w:lineRule="auto"/>
              <w:rPr>
                <w:rFonts w:cs="Arial"/>
                <w:sz w:val="20"/>
                <w:szCs w:val="16"/>
              </w:rPr>
            </w:pPr>
            <w:r>
              <w:rPr>
                <w:b/>
                <w:sz w:val="20"/>
              </w:rPr>
              <w:t>3. NÄRMARE UPPGIFTER OM SMÅ AVLOPPSVATTENMÄNGDER</w:t>
            </w:r>
          </w:p>
        </w:tc>
        <w:tc>
          <w:tcPr>
            <w:tcW w:w="2835"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38579D">
        <w:trPr>
          <w:trHeight w:val="4011"/>
        </w:trPr>
        <w:tc>
          <w:tcPr>
            <w:tcW w:w="10065" w:type="dxa"/>
            <w:gridSpan w:val="2"/>
            <w:tcBorders>
              <w:top w:val="single" w:sz="4" w:space="0" w:color="auto"/>
              <w:left w:val="single" w:sz="4" w:space="0" w:color="auto"/>
              <w:bottom w:val="single" w:sz="4" w:space="0" w:color="auto"/>
              <w:right w:val="single" w:sz="4" w:space="0" w:color="auto"/>
            </w:tcBorders>
          </w:tcPr>
          <w:p w14:paraId="175346C3" w14:textId="6E289391" w:rsidR="009A7671" w:rsidRPr="009A7671" w:rsidRDefault="009A7671" w:rsidP="007B36A8">
            <w:pPr>
              <w:pStyle w:val="Ohjetekstipieni"/>
              <w:spacing w:line="276" w:lineRule="auto"/>
              <w:rPr>
                <w:rFonts w:cs="Arial"/>
                <w:sz w:val="20"/>
                <w:szCs w:val="16"/>
              </w:rPr>
            </w:pPr>
            <w:r>
              <w:rPr>
                <w:sz w:val="20"/>
                <w:szCs w:val="16"/>
              </w:rPr>
              <w:t>Motivering till avvikelse på grund av små avloppsvattenmängder.</w:t>
            </w:r>
          </w:p>
          <w:p w14:paraId="38BD25CD" w14:textId="54B756F2" w:rsidR="009A7671" w:rsidRPr="009A7671" w:rsidRDefault="009A7671" w:rsidP="007B36A8">
            <w:pPr>
              <w:pStyle w:val="Ohjetekstipieni"/>
              <w:spacing w:line="276" w:lineRule="auto"/>
              <w:rPr>
                <w:rFonts w:cs="Arial"/>
                <w:sz w:val="20"/>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p w14:paraId="03F1B410" w14:textId="70CE71D7" w:rsidR="009A7671" w:rsidRPr="009A7671" w:rsidRDefault="009A7671" w:rsidP="007B36A8">
            <w:pPr>
              <w:pStyle w:val="Ohjetekstipieni"/>
              <w:spacing w:line="276" w:lineRule="auto"/>
              <w:rPr>
                <w:rFonts w:cs="Arial"/>
                <w:sz w:val="20"/>
                <w:szCs w:val="16"/>
              </w:rPr>
            </w:pPr>
          </w:p>
        </w:tc>
      </w:tr>
    </w:tbl>
    <w:p w14:paraId="12EC5F10" w14:textId="77777777" w:rsidR="007B36A8" w:rsidRPr="009A7671" w:rsidRDefault="007B36A8" w:rsidP="007B36A8">
      <w:pPr>
        <w:pStyle w:val="Tyttteksti2"/>
        <w:spacing w:line="276" w:lineRule="auto"/>
        <w:rPr>
          <w:rFonts w:ascii="Arial" w:hAnsi="Arial"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9A7671" w14:paraId="1798EF84" w14:textId="77777777" w:rsidTr="008572E8">
        <w:trPr>
          <w:trHeight w:val="567"/>
        </w:trPr>
        <w:tc>
          <w:tcPr>
            <w:tcW w:w="10065" w:type="dxa"/>
            <w:tcBorders>
              <w:top w:val="nil"/>
              <w:left w:val="nil"/>
              <w:bottom w:val="single" w:sz="4" w:space="0" w:color="auto"/>
              <w:right w:val="nil"/>
            </w:tcBorders>
            <w:vAlign w:val="bottom"/>
          </w:tcPr>
          <w:p w14:paraId="1548740E" w14:textId="059C3559" w:rsidR="008572E8" w:rsidRPr="009A7671" w:rsidRDefault="00003565" w:rsidP="007B36A8">
            <w:pPr>
              <w:pStyle w:val="Tyttteksti2"/>
              <w:spacing w:line="276" w:lineRule="auto"/>
              <w:rPr>
                <w:rFonts w:ascii="Arial" w:hAnsi="Arial" w:cs="Arial"/>
                <w:b/>
                <w:sz w:val="20"/>
                <w:szCs w:val="16"/>
              </w:rPr>
            </w:pPr>
            <w:r>
              <w:rPr>
                <w:rFonts w:ascii="Arial" w:hAnsi="Arial"/>
                <w:b/>
                <w:sz w:val="20"/>
                <w:szCs w:val="16"/>
              </w:rPr>
              <w:t>4. UNDERSKRIFTER</w:t>
            </w:r>
          </w:p>
        </w:tc>
      </w:tr>
      <w:tr w:rsidR="002C7AFE" w:rsidRPr="009A7671"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5B6492C6" w14:textId="11CC7C6B" w:rsidR="002C7AFE" w:rsidRPr="00573A34" w:rsidRDefault="002C7AFE" w:rsidP="007B36A8">
            <w:pPr>
              <w:pStyle w:val="Tyttteksti2"/>
              <w:spacing w:line="276" w:lineRule="auto"/>
              <w:rPr>
                <w:rFonts w:ascii="Arial" w:hAnsi="Arial" w:cs="Arial"/>
                <w:sz w:val="20"/>
                <w:szCs w:val="16"/>
              </w:rPr>
            </w:pPr>
            <w:r>
              <w:rPr>
                <w:rFonts w:ascii="Arial" w:hAnsi="Arial"/>
                <w:sz w:val="20"/>
              </w:rPr>
              <w:t>Ort och datum</w:t>
            </w:r>
            <w:r>
              <w:rPr>
                <w:rFonts w:ascii="Arial" w:hAnsi="Arial"/>
                <w:sz w:val="20"/>
                <w:szCs w:val="16"/>
              </w:rPr>
              <w:t xml:space="preserve">     </w:t>
            </w:r>
            <w:r w:rsidRPr="009A7671">
              <w:rPr>
                <w:rFonts w:ascii="Arial" w:hAnsi="Arial" w:cs="Arial"/>
                <w:b/>
                <w:sz w:val="20"/>
              </w:rPr>
              <w:fldChar w:fldCharType="begin" w:fldLock="1">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Pr>
                <w:rFonts w:ascii="Arial" w:hAnsi="Arial"/>
                <w:b/>
                <w:sz w:val="20"/>
              </w:rPr>
              <w:t>     </w:t>
            </w:r>
            <w:r w:rsidRPr="009A7671">
              <w:rPr>
                <w:rFonts w:ascii="Arial" w:hAnsi="Arial" w:cs="Arial"/>
                <w:b/>
                <w:sz w:val="20"/>
              </w:rPr>
              <w:fldChar w:fldCharType="end"/>
            </w:r>
          </w:p>
          <w:p w14:paraId="3C5F8D4C" w14:textId="77777777"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Pr>
                <w:rFonts w:ascii="Arial" w:hAnsi="Arial"/>
                <w:sz w:val="16"/>
                <w:szCs w:val="16"/>
              </w:rPr>
              <w:t>____________________________________________________________________________________________________________</w:t>
            </w:r>
          </w:p>
          <w:p w14:paraId="55952E5A" w14:textId="11EE2FF8" w:rsidR="002C7AFE" w:rsidRPr="009A7671" w:rsidRDefault="009A7671" w:rsidP="007B36A8">
            <w:pPr>
              <w:pStyle w:val="Tyttteksti2"/>
              <w:spacing w:line="276" w:lineRule="auto"/>
              <w:rPr>
                <w:rFonts w:ascii="Arial" w:hAnsi="Arial" w:cs="Arial"/>
                <w:sz w:val="16"/>
                <w:szCs w:val="16"/>
              </w:rPr>
            </w:pPr>
            <w:r>
              <w:rPr>
                <w:rFonts w:ascii="Arial" w:hAnsi="Arial"/>
                <w:sz w:val="20"/>
                <w:szCs w:val="16"/>
              </w:rPr>
              <w:t>Sökandens underskrift</w:t>
            </w:r>
            <w:r w:rsidR="008506A3">
              <w:rPr>
                <w:rFonts w:ascii="Arial" w:hAnsi="Arial"/>
                <w:sz w:val="20"/>
                <w:szCs w:val="16"/>
              </w:rPr>
              <w:t xml:space="preserve">  </w:t>
            </w:r>
            <w:r w:rsidR="002C7AFE" w:rsidRPr="009A7671">
              <w:rPr>
                <w:rFonts w:ascii="Arial" w:hAnsi="Arial" w:cs="Arial"/>
                <w:b/>
                <w:sz w:val="20"/>
              </w:rPr>
              <w:fldChar w:fldCharType="begin" w:fldLock="1">
                <w:ffData>
                  <w:name w:val="Text11"/>
                  <w:enabled/>
                  <w:calcOnExit w:val="0"/>
                  <w:textInput/>
                </w:ffData>
              </w:fldChar>
            </w:r>
            <w:r w:rsidR="002C7AFE" w:rsidRPr="009A7671">
              <w:rPr>
                <w:rFonts w:ascii="Arial" w:hAnsi="Arial" w:cs="Arial"/>
                <w:b/>
                <w:sz w:val="20"/>
              </w:rPr>
              <w:instrText xml:space="preserve"> FORMTEXT </w:instrText>
            </w:r>
            <w:r w:rsidR="002C7AFE" w:rsidRPr="009A7671">
              <w:rPr>
                <w:rFonts w:ascii="Arial" w:hAnsi="Arial" w:cs="Arial"/>
                <w:b/>
                <w:sz w:val="20"/>
              </w:rPr>
            </w:r>
            <w:r w:rsidR="002C7AFE" w:rsidRPr="009A7671">
              <w:rPr>
                <w:rFonts w:ascii="Arial" w:hAnsi="Arial" w:cs="Arial"/>
                <w:b/>
                <w:sz w:val="20"/>
              </w:rPr>
              <w:fldChar w:fldCharType="separate"/>
            </w:r>
            <w:r w:rsidR="002C7AFE">
              <w:rPr>
                <w:rFonts w:ascii="Arial" w:hAnsi="Arial"/>
                <w:b/>
                <w:sz w:val="20"/>
              </w:rPr>
              <w:t>     </w:t>
            </w:r>
            <w:r w:rsidR="002C7AFE" w:rsidRPr="009A7671">
              <w:rPr>
                <w:rFonts w:ascii="Arial" w:hAnsi="Arial" w:cs="Arial"/>
                <w:b/>
                <w:sz w:val="20"/>
              </w:rPr>
              <w:fldChar w:fldCharType="end"/>
            </w:r>
          </w:p>
          <w:p w14:paraId="0FADF84A" w14:textId="77777777" w:rsidR="008506A3" w:rsidRDefault="008506A3" w:rsidP="007B36A8">
            <w:pPr>
              <w:pStyle w:val="Tyttteksti2"/>
              <w:spacing w:line="276" w:lineRule="auto"/>
              <w:rPr>
                <w:rFonts w:ascii="Arial" w:hAnsi="Arial"/>
                <w:sz w:val="20"/>
                <w:szCs w:val="16"/>
              </w:rPr>
            </w:pPr>
          </w:p>
          <w:p w14:paraId="05A45D64" w14:textId="606D509B" w:rsidR="002C7AFE" w:rsidRPr="00573A34" w:rsidRDefault="002C7AFE" w:rsidP="007B36A8">
            <w:pPr>
              <w:pStyle w:val="Tyttteksti2"/>
              <w:spacing w:line="276" w:lineRule="auto"/>
              <w:rPr>
                <w:rFonts w:ascii="Arial" w:hAnsi="Arial"/>
                <w:sz w:val="20"/>
                <w:szCs w:val="16"/>
              </w:rPr>
            </w:pPr>
            <w:r>
              <w:rPr>
                <w:rFonts w:ascii="Arial" w:hAnsi="Arial"/>
                <w:sz w:val="20"/>
                <w:szCs w:val="16"/>
              </w:rPr>
              <w:t>Namnförtydligande</w:t>
            </w:r>
            <w:bookmarkStart w:id="0" w:name="_GoBack"/>
            <w:bookmarkEnd w:id="0"/>
          </w:p>
        </w:tc>
      </w:tr>
    </w:tbl>
    <w:p w14:paraId="7868C043" w14:textId="77777777" w:rsidR="008926A2" w:rsidRPr="009A7671" w:rsidRDefault="008926A2" w:rsidP="007B36A8">
      <w:pPr>
        <w:spacing w:line="276" w:lineRule="auto"/>
        <w:rPr>
          <w:rFonts w:cs="Arial"/>
          <w:b/>
          <w:sz w:val="20"/>
        </w:rPr>
      </w:pPr>
    </w:p>
    <w:p w14:paraId="4B5FF3BA" w14:textId="77777777" w:rsidR="009A7671" w:rsidRPr="009A7671" w:rsidRDefault="009A7671" w:rsidP="007B36A8">
      <w:pPr>
        <w:spacing w:line="276" w:lineRule="auto"/>
        <w:rPr>
          <w:rFonts w:cs="Arial"/>
          <w:b/>
          <w:sz w:val="20"/>
        </w:rPr>
      </w:pPr>
    </w:p>
    <w:p w14:paraId="3B1600A2" w14:textId="77777777" w:rsidR="009A7671" w:rsidRPr="009A7671" w:rsidRDefault="009A7671" w:rsidP="007B36A8">
      <w:pPr>
        <w:spacing w:line="276" w:lineRule="auto"/>
        <w:rPr>
          <w:rFonts w:cs="Arial"/>
          <w:b/>
          <w:sz w:val="20"/>
        </w:rPr>
      </w:pPr>
    </w:p>
    <w:p w14:paraId="56232D6D" w14:textId="5F5037CF" w:rsidR="009A7671" w:rsidRPr="009A7671" w:rsidRDefault="004F32A1" w:rsidP="007B36A8">
      <w:pPr>
        <w:spacing w:line="276" w:lineRule="auto"/>
        <w:rPr>
          <w:rFonts w:cs="Arial"/>
          <w:b/>
          <w:sz w:val="20"/>
        </w:rPr>
      </w:pPr>
      <w:r>
        <w:rPr>
          <w:b/>
          <w:sz w:val="20"/>
        </w:rPr>
        <w:t>ANVISNINGAR BILAGA 3A</w:t>
      </w:r>
    </w:p>
    <w:p w14:paraId="0BC7C26F" w14:textId="03D9AB71" w:rsidR="007B36A8" w:rsidRPr="00114DA4" w:rsidRDefault="00114DA4" w:rsidP="007B36A8">
      <w:pPr>
        <w:spacing w:line="276" w:lineRule="auto"/>
        <w:rPr>
          <w:rFonts w:cs="Arial"/>
          <w:sz w:val="20"/>
        </w:rPr>
      </w:pPr>
      <w:r>
        <w:rPr>
          <w:sz w:val="20"/>
        </w:rPr>
        <w:t xml:space="preserve">Kangas, A. (red). Avloppsvatten i glesbygdsområden – Lagstiftning och praxis 2017. Miljöhandledning. Miljöministeriet. </w:t>
      </w:r>
      <w:hyperlink r:id="rId9" w:history="1">
        <w:r>
          <w:rPr>
            <w:rStyle w:val="Hyperlinkki"/>
            <w:sz w:val="20"/>
          </w:rPr>
          <w:t>http://urn.fi/URN:ISBN:978-952-11-4740-1</w:t>
        </w:r>
      </w:hyperlink>
      <w:r>
        <w:rPr>
          <w:sz w:val="20"/>
        </w:rPr>
        <w:t xml:space="preserve"> </w:t>
      </w:r>
    </w:p>
    <w:p w14:paraId="289F68ED" w14:textId="77777777" w:rsidR="00114DA4" w:rsidRPr="009A7671" w:rsidRDefault="00114DA4" w:rsidP="007B36A8">
      <w:pPr>
        <w:spacing w:line="276" w:lineRule="auto"/>
        <w:rPr>
          <w:rFonts w:cs="Arial"/>
          <w:b/>
          <w:sz w:val="20"/>
        </w:rPr>
      </w:pPr>
    </w:p>
    <w:p w14:paraId="5F5B5D1E" w14:textId="77777777" w:rsidR="009A7671" w:rsidRPr="009A7671" w:rsidRDefault="009A7671" w:rsidP="009A7671">
      <w:pPr>
        <w:spacing w:line="276" w:lineRule="auto"/>
        <w:rPr>
          <w:rFonts w:cs="Arial"/>
          <w:b/>
          <w:sz w:val="20"/>
        </w:rPr>
      </w:pPr>
      <w:r>
        <w:rPr>
          <w:b/>
          <w:sz w:val="20"/>
        </w:rPr>
        <w:t>Anmärkningsvärt obetydlig miljöbelastning</w:t>
      </w:r>
    </w:p>
    <w:p w14:paraId="4E756579" w14:textId="5291C1CD" w:rsidR="00114DA4" w:rsidRDefault="009A7671" w:rsidP="009A7671">
      <w:pPr>
        <w:spacing w:line="276" w:lineRule="auto"/>
        <w:rPr>
          <w:rFonts w:cs="Arial"/>
          <w:sz w:val="20"/>
        </w:rPr>
      </w:pPr>
      <w:r>
        <w:rPr>
          <w:sz w:val="20"/>
        </w:rPr>
        <w:t xml:space="preserve">Kommunens behöriga myndighet kan bevilja tillstånd att avvika från reningskraven på basnivå på grundval av anmärkningsvärt obetydlig miljöbelastning. Detta innebär att antalet bosatta på fastigheten, dess nyttjandegrad eller kvaliteten på och mängden avloppsvatten som uppkommer inte nämnvärt får avvika från en lägre nivå än genomsnittet för glesbebyggelse så att belastningen ökar. I praktiken får antalet bosatta på fastigheten inte överstiga genomsnittet på tre personer. Antalet stadigvarande bosatta på fastigheten får alltså vara högst 1–2. Dessutom bor man på fastigheten bara en del av året, och även då i liten utsträckning. Vad beträffar kvaliteten på avloppsvattnet måste man ta hänsyn till om fastigheten exempelvis har tillgång till vattenklosett eller ett system som skiljer åt toalettvatten och annat avloppsvatten. Det väsentliga är att miljöbelastningen är obetydlig jämfört med avloppsvattenförordningens belastningstal per boende. </w:t>
      </w:r>
    </w:p>
    <w:p w14:paraId="2EDC2640" w14:textId="77777777" w:rsidR="00114DA4" w:rsidRDefault="00114DA4" w:rsidP="009A7671">
      <w:pPr>
        <w:spacing w:line="276" w:lineRule="auto"/>
        <w:rPr>
          <w:rFonts w:cs="Arial"/>
          <w:sz w:val="20"/>
        </w:rPr>
      </w:pPr>
    </w:p>
    <w:p w14:paraId="4F10404F" w14:textId="08C2A90E" w:rsidR="009A7671" w:rsidRPr="009A7671" w:rsidRDefault="009A7671" w:rsidP="009A7671">
      <w:pPr>
        <w:spacing w:line="276" w:lineRule="auto"/>
        <w:rPr>
          <w:rFonts w:cs="Arial"/>
          <w:sz w:val="20"/>
        </w:rPr>
      </w:pPr>
      <w:r>
        <w:rPr>
          <w:sz w:val="20"/>
        </w:rPr>
        <w:t>Beroende på situationen granskas olika kombinationer av antalet bosatta, sättet att använda fastigheten och avloppsvattensystemet för att bedöma möjligheterna till avvikelse på grundval av anmärkningsvärt obetydlig miljöbelastning. Nedan åskådliggörs grunderna för prövningen och olika kombinationer.</w:t>
      </w:r>
    </w:p>
    <w:p w14:paraId="3D7FEC91" w14:textId="77777777" w:rsidR="009A7671" w:rsidRPr="009A7671" w:rsidRDefault="009A7671" w:rsidP="009A7671">
      <w:pPr>
        <w:spacing w:line="276" w:lineRule="auto"/>
        <w:rPr>
          <w:rFonts w:cs="Arial"/>
          <w:sz w:val="20"/>
        </w:rPr>
      </w:pPr>
    </w:p>
    <w:p w14:paraId="6B7A8778" w14:textId="37F2E346" w:rsidR="008506A3" w:rsidRDefault="008506A3" w:rsidP="009A7671">
      <w:pPr>
        <w:spacing w:line="276" w:lineRule="auto"/>
        <w:rPr>
          <w:sz w:val="20"/>
        </w:rPr>
      </w:pPr>
      <w:r w:rsidRPr="008506A3">
        <w:rPr>
          <w:noProof/>
          <w:lang w:val="fi-FI" w:eastAsia="fi-FI"/>
        </w:rPr>
        <w:drawing>
          <wp:inline distT="0" distB="0" distL="0" distR="0" wp14:anchorId="7C05BFE1" wp14:editId="37FF2AFB">
            <wp:extent cx="5966460" cy="1916517"/>
            <wp:effectExtent l="0" t="0" r="0" b="762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29178" cy="1936663"/>
                    </a:xfrm>
                    <a:prstGeom prst="rect">
                      <a:avLst/>
                    </a:prstGeom>
                  </pic:spPr>
                </pic:pic>
              </a:graphicData>
            </a:graphic>
          </wp:inline>
        </w:drawing>
      </w:r>
    </w:p>
    <w:p w14:paraId="088A238D" w14:textId="3B529DBF" w:rsidR="009A7671" w:rsidRPr="009A7671" w:rsidRDefault="009A7671" w:rsidP="009A7671">
      <w:pPr>
        <w:spacing w:line="276" w:lineRule="auto"/>
        <w:rPr>
          <w:rFonts w:cs="Arial"/>
          <w:sz w:val="20"/>
        </w:rPr>
      </w:pPr>
      <w:r>
        <w:rPr>
          <w:sz w:val="20"/>
        </w:rPr>
        <w:t>Figur 1. Miljöbelastning från olika kombinationer. Ju ljusare, desto mindre belastning.</w:t>
      </w:r>
    </w:p>
    <w:p w14:paraId="36829ECE" w14:textId="77777777" w:rsidR="009A7671" w:rsidRPr="009A7671" w:rsidRDefault="009A7671" w:rsidP="009A7671">
      <w:pPr>
        <w:spacing w:line="276" w:lineRule="auto"/>
        <w:rPr>
          <w:rFonts w:cs="Arial"/>
          <w:sz w:val="20"/>
        </w:rPr>
      </w:pPr>
      <w:r>
        <w:rPr>
          <w:sz w:val="20"/>
        </w:rPr>
        <w:t xml:space="preserve"> (Källa: Miljöutskottets betänkande </w:t>
      </w:r>
      <w:proofErr w:type="spellStart"/>
      <w:r>
        <w:rPr>
          <w:sz w:val="20"/>
        </w:rPr>
        <w:t>MiUB</w:t>
      </w:r>
      <w:proofErr w:type="spellEnd"/>
      <w:r>
        <w:rPr>
          <w:sz w:val="20"/>
        </w:rPr>
        <w:t xml:space="preserve"> 20/2016.)</w:t>
      </w:r>
    </w:p>
    <w:p w14:paraId="4C1322B8" w14:textId="77777777" w:rsidR="009A7671" w:rsidRPr="009A7671" w:rsidRDefault="009A7671" w:rsidP="009A7671">
      <w:pPr>
        <w:spacing w:line="276" w:lineRule="auto"/>
        <w:rPr>
          <w:rFonts w:cs="Arial"/>
          <w:sz w:val="20"/>
        </w:rPr>
      </w:pPr>
    </w:p>
    <w:p w14:paraId="4EB42683" w14:textId="77777777" w:rsidR="00114DA4" w:rsidRDefault="009A7671" w:rsidP="009A7671">
      <w:pPr>
        <w:spacing w:line="276" w:lineRule="auto"/>
        <w:rPr>
          <w:rFonts w:cs="Arial"/>
          <w:sz w:val="20"/>
        </w:rPr>
      </w:pPr>
      <w:r>
        <w:rPr>
          <w:sz w:val="20"/>
        </w:rPr>
        <w:t xml:space="preserve">Avvikelse på grundval av anmärkningsvärt obetydlig belastning ska i regel inte beviljas en permanent bebodd fastighet med vattentoalett och två eller flera boende. I regel ska avvikelse inte heller beviljas en fritidsbostad med vattentoalett och fler än två boende. </w:t>
      </w:r>
    </w:p>
    <w:p w14:paraId="6EDF64CB" w14:textId="77777777" w:rsidR="00114DA4" w:rsidRDefault="00114DA4" w:rsidP="009A7671">
      <w:pPr>
        <w:spacing w:line="276" w:lineRule="auto"/>
        <w:rPr>
          <w:rFonts w:cs="Arial"/>
          <w:sz w:val="20"/>
        </w:rPr>
      </w:pPr>
    </w:p>
    <w:p w14:paraId="0B2AAC9F" w14:textId="77777777" w:rsidR="00114DA4" w:rsidRDefault="009A7671" w:rsidP="009A7671">
      <w:pPr>
        <w:spacing w:line="276" w:lineRule="auto"/>
        <w:rPr>
          <w:rFonts w:cs="Arial"/>
          <w:sz w:val="20"/>
        </w:rPr>
      </w:pPr>
      <w:r>
        <w:rPr>
          <w:sz w:val="20"/>
        </w:rPr>
        <w:t xml:space="preserve">Avvikelse kan dock beviljas en fritidsbostad trots att den har vattentoalett, om bostaden i regel används av högst två boende och endast under ett fåtal dagar per år. När det gäller bruksdagarna tittar man både på längden på de sammanhängande perioderna av användning och på det totala antalet bruksdagar per år. Belastningsmängden jämförs med den genomsnittliga belastningen enligt förordningen. </w:t>
      </w:r>
    </w:p>
    <w:p w14:paraId="7C74D1BE" w14:textId="77777777" w:rsidR="00114DA4" w:rsidRDefault="00114DA4" w:rsidP="009A7671">
      <w:pPr>
        <w:spacing w:line="276" w:lineRule="auto"/>
        <w:rPr>
          <w:rFonts w:cs="Arial"/>
          <w:sz w:val="20"/>
        </w:rPr>
      </w:pPr>
    </w:p>
    <w:p w14:paraId="1527DD8A" w14:textId="7F2D0063" w:rsidR="009A7671" w:rsidRPr="009A7671" w:rsidRDefault="009A7671" w:rsidP="009A7671">
      <w:pPr>
        <w:spacing w:line="276" w:lineRule="auto"/>
        <w:rPr>
          <w:rFonts w:cs="Arial"/>
          <w:sz w:val="20"/>
        </w:rPr>
      </w:pPr>
      <w:r>
        <w:rPr>
          <w:sz w:val="20"/>
        </w:rPr>
        <w:t>Tillstånd till avvikelse på grundval av anmärkningsvärt obetydlig belastning kan i regel inte heller beviljas en fastighet med torrtoalett, om boendet är permanent och antalet boende är två eller fler och användningen av bad-, disk- och tvättvatten motsvarar normalt boende. När beviljandet av avvikelse bedöms finns skäl att titta på belastningsmängden från bad-, disk- och tvättvatten och ändamålsenlig behandling av torrtoalettens vätske- fraktioner. Avvikelse kan i allmänhet beviljas en fritidsbostad som i regel används av högst två personer och det finns en torrtoalett i bruk på fastigheten. Beviljande av avvikelse förutsätter att behandlingen av fastighetens bad-, disk- och tvättvatten samt de olika torrtoalettfraktionerna redan i dagsläget är tillräcklig.</w:t>
      </w:r>
    </w:p>
    <w:p w14:paraId="2B8A22DF" w14:textId="77777777" w:rsidR="009A7671" w:rsidRPr="009A7671" w:rsidRDefault="009A7671" w:rsidP="007B36A8">
      <w:pPr>
        <w:spacing w:line="276" w:lineRule="auto"/>
        <w:rPr>
          <w:rFonts w:cs="Arial"/>
          <w:b/>
          <w:sz w:val="20"/>
        </w:rPr>
      </w:pP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1"/>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C2116" w14:textId="77777777" w:rsidR="00E409B5" w:rsidRDefault="00E409B5" w:rsidP="003B30F3">
      <w:r>
        <w:separator/>
      </w:r>
    </w:p>
  </w:endnote>
  <w:endnote w:type="continuationSeparator" w:id="0">
    <w:p w14:paraId="612D5F96" w14:textId="77777777" w:rsidR="00E409B5" w:rsidRDefault="00E409B5"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820651"/>
      <w:docPartObj>
        <w:docPartGallery w:val="Page Numbers (Bottom of Page)"/>
        <w:docPartUnique/>
      </w:docPartObj>
    </w:sdtPr>
    <w:sdtEndPr/>
    <w:sdtContent>
      <w:p w14:paraId="140B9A34" w14:textId="6BC2F883"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573A34">
          <w:rPr>
            <w:noProof/>
            <w:sz w:val="16"/>
            <w:szCs w:val="16"/>
          </w:rPr>
          <w:t>1</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5DD52" w14:textId="77777777" w:rsidR="00E409B5" w:rsidRDefault="00E409B5" w:rsidP="003B30F3">
      <w:r>
        <w:separator/>
      </w:r>
    </w:p>
  </w:footnote>
  <w:footnote w:type="continuationSeparator" w:id="0">
    <w:p w14:paraId="0A7F03A2" w14:textId="77777777" w:rsidR="00E409B5" w:rsidRDefault="00E409B5"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66C7"/>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A34"/>
    <w:rsid w:val="00573C93"/>
    <w:rsid w:val="00582A74"/>
    <w:rsid w:val="005849D7"/>
    <w:rsid w:val="00593FAD"/>
    <w:rsid w:val="00596548"/>
    <w:rsid w:val="005977A4"/>
    <w:rsid w:val="005A0187"/>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06A3"/>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5C62"/>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0AC"/>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09B5"/>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B2D627"/>
  <w15:docId w15:val="{976C4AFB-93DA-40DC-9F29-96650D24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eastAsia="fi-FI"/>
    </w:rPr>
  </w:style>
  <w:style w:type="character" w:customStyle="1" w:styleId="Otsikko3Char">
    <w:name w:val="Otsikko 3 Char"/>
    <w:basedOn w:val="Kappaleenoletusfontti"/>
    <w:link w:val="Otsikko3"/>
    <w:rsid w:val="00075F67"/>
    <w:rPr>
      <w:rFonts w:cs="Arial"/>
      <w:b/>
      <w:bCs/>
      <w:sz w:val="26"/>
      <w:szCs w:val="26"/>
      <w:lang w:val="sv-SE"/>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eastAsia="fi-FI"/>
    </w:rPr>
  </w:style>
  <w:style w:type="paragraph" w:customStyle="1" w:styleId="Tyttteksti">
    <w:name w:val="Täyttöteksti"/>
    <w:basedOn w:val="Normaali"/>
    <w:rsid w:val="008415CA"/>
    <w:rPr>
      <w:rFonts w:ascii="Times New Roman" w:hAnsi="Times New Roman"/>
      <w:sz w:val="20"/>
      <w:lang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917DE-048E-475F-925B-E136574D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3739</Characters>
  <Application>Microsoft Office Word</Application>
  <DocSecurity>0</DocSecurity>
  <Lines>31</Lines>
  <Paragraphs>8</Paragraphs>
  <ScaleCrop>false</ScaleCrop>
  <HeadingPairs>
    <vt:vector size="6" baseType="variant">
      <vt:variant>
        <vt:lpstr>Title</vt:lpstr>
      </vt:variant>
      <vt:variant>
        <vt:i4>1</vt:i4>
      </vt:variant>
      <vt:variant>
        <vt:lpstr>Otsikko</vt:lpstr>
      </vt:variant>
      <vt:variant>
        <vt:i4>1</vt:i4>
      </vt:variant>
      <vt:variant>
        <vt:lpstr>Otsikot</vt:lpstr>
      </vt:variant>
      <vt:variant>
        <vt:i4>1</vt:i4>
      </vt:variant>
    </vt:vector>
  </HeadingPairs>
  <TitlesOfParts>
    <vt:vector size="3" baseType="lpstr">
      <vt:lpstr/>
      <vt:lpstr/>
      <vt:lpstr>        DIARIEFÖRINGSUPPGIFTER</vt:lpstr>
    </vt:vector>
  </TitlesOfParts>
  <Company>Ympäristöhallinto</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Katja Koli</cp:lastModifiedBy>
  <cp:revision>3</cp:revision>
  <cp:lastPrinted>2018-11-02T08:43:00Z</cp:lastPrinted>
  <dcterms:created xsi:type="dcterms:W3CDTF">2019-07-08T10:21:00Z</dcterms:created>
  <dcterms:modified xsi:type="dcterms:W3CDTF">2019-08-01T09:55:00Z</dcterms:modified>
</cp:coreProperties>
</file>